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B2DB120"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w:t>
      </w:r>
      <w:r w:rsidR="00B111D5">
        <w:rPr>
          <w:bCs/>
          <w:noProof w:val="0"/>
          <w:sz w:val="24"/>
          <w:szCs w:val="24"/>
        </w:rPr>
        <w:t>3</w:t>
      </w:r>
      <w:r w:rsidRPr="00FE251B">
        <w:rPr>
          <w:bCs/>
          <w:noProof w:val="0"/>
          <w:sz w:val="24"/>
          <w:szCs w:val="24"/>
        </w:rPr>
        <w:t xml:space="preserve"> NR Ad hoc 1801</w:t>
      </w:r>
      <w:r w:rsidR="00CD4C7B" w:rsidRPr="00B266B0">
        <w:rPr>
          <w:bCs/>
          <w:noProof w:val="0"/>
          <w:sz w:val="24"/>
          <w:szCs w:val="24"/>
        </w:rPr>
        <w:tab/>
      </w:r>
      <w:r w:rsidR="00CD4C7B" w:rsidRPr="00B266B0">
        <w:rPr>
          <w:rFonts w:hint="eastAsia"/>
          <w:bCs/>
          <w:noProof w:val="0"/>
          <w:sz w:val="24"/>
          <w:szCs w:val="24"/>
        </w:rPr>
        <w:t>R</w:t>
      </w:r>
      <w:r w:rsidR="00B111D5">
        <w:rPr>
          <w:bCs/>
          <w:noProof w:val="0"/>
          <w:sz w:val="24"/>
          <w:szCs w:val="24"/>
        </w:rPr>
        <w:t>3</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99610B">
        <w:rPr>
          <w:bCs/>
          <w:noProof w:val="0"/>
          <w:sz w:val="24"/>
          <w:szCs w:val="24"/>
        </w:rPr>
        <w:t>0057</w:t>
      </w:r>
    </w:p>
    <w:p w14:paraId="231362B2" w14:textId="3130A559" w:rsidR="00CD4C7B" w:rsidRPr="00B266B0" w:rsidRDefault="0099610B" w:rsidP="00CD4C7B">
      <w:pPr>
        <w:pStyle w:val="Header"/>
        <w:tabs>
          <w:tab w:val="right" w:pos="9639"/>
        </w:tabs>
        <w:rPr>
          <w:bCs/>
          <w:noProof w:val="0"/>
          <w:sz w:val="24"/>
          <w:szCs w:val="24"/>
        </w:rPr>
      </w:pPr>
      <w:r>
        <w:rPr>
          <w:rFonts w:eastAsia="SimSun"/>
          <w:noProof w:val="0"/>
          <w:sz w:val="24"/>
          <w:szCs w:val="24"/>
          <w:lang w:eastAsia="zh-CN"/>
        </w:rPr>
        <w:t>Sophia Antipolis, France, EU</w:t>
      </w:r>
      <w:r w:rsidR="00C24650" w:rsidRPr="00C24650">
        <w:rPr>
          <w:rFonts w:eastAsia="SimSun"/>
          <w:noProof w:val="0"/>
          <w:sz w:val="24"/>
          <w:szCs w:val="24"/>
          <w:lang w:eastAsia="zh-CN"/>
        </w:rPr>
        <w:t xml:space="preserve">, </w:t>
      </w:r>
      <w:r w:rsidR="00FE251B">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sidR="00FE251B">
        <w:rPr>
          <w:rFonts w:eastAsia="SimSun"/>
          <w:noProof w:val="0"/>
          <w:sz w:val="24"/>
          <w:szCs w:val="24"/>
          <w:lang w:eastAsia="zh-CN"/>
        </w:rPr>
        <w:t>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E9838B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9610B">
        <w:rPr>
          <w:rFonts w:cs="Arial"/>
          <w:b/>
          <w:bCs/>
          <w:sz w:val="24"/>
          <w:lang w:eastAsia="ja-JP"/>
        </w:rPr>
        <w:t>31.3</w:t>
      </w:r>
      <w:r w:rsidR="00463DC4">
        <w:rPr>
          <w:rFonts w:cs="Arial"/>
          <w:b/>
          <w:bCs/>
          <w:sz w:val="24"/>
          <w:lang w:eastAsia="ja-JP"/>
        </w:rPr>
        <w:t>.1</w:t>
      </w:r>
      <w:bookmarkStart w:id="0" w:name="_GoBack"/>
      <w:bookmarkEnd w:id="0"/>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1B0A72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9610B" w:rsidRPr="0099610B">
        <w:rPr>
          <w:rFonts w:ascii="Arial" w:hAnsi="Arial" w:cs="Arial"/>
          <w:b/>
          <w:bCs/>
          <w:sz w:val="24"/>
        </w:rPr>
        <w:t>RLC re-establishment indication at switching on a split bearer</w:t>
      </w:r>
    </w:p>
    <w:p w14:paraId="7DF86DB4" w14:textId="302E41C1"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99D53E3" w14:textId="77777777" w:rsidR="0099610B" w:rsidRPr="00B266B0" w:rsidRDefault="0099610B"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4C3C947F" w14:textId="2F98FAC7" w:rsidR="00505BEA" w:rsidRDefault="00A732CE" w:rsidP="00CD4C7B">
      <w:r>
        <w:t>RAN3#98 agreed to support exchange of Uplink configuration between dual-connectivity Master node and Secondary node as proposed in [1], serving the purpose of switching the uplink used on a split bearer.</w:t>
      </w:r>
    </w:p>
    <w:p w14:paraId="1AD95F57" w14:textId="624DE755" w:rsidR="00A732CE" w:rsidRDefault="00A732CE" w:rsidP="00CD4C7B">
      <w:r>
        <w:t>During the same meeting, RAN2#100 agreed the following.</w:t>
      </w:r>
    </w:p>
    <w:p w14:paraId="1FE66D15" w14:textId="77777777" w:rsidR="00CB167C" w:rsidRDefault="00CB167C" w:rsidP="00CB167C">
      <w:pPr>
        <w:pStyle w:val="Doc-text2"/>
        <w:pBdr>
          <w:top w:val="single" w:sz="4" w:space="1" w:color="auto"/>
          <w:left w:val="single" w:sz="4" w:space="4" w:color="auto"/>
          <w:bottom w:val="single" w:sz="4" w:space="1" w:color="auto"/>
          <w:right w:val="single" w:sz="4" w:space="4" w:color="auto"/>
        </w:pBdr>
      </w:pPr>
      <w:r>
        <w:t>Agreements</w:t>
      </w:r>
    </w:p>
    <w:p w14:paraId="65F385BC" w14:textId="77777777" w:rsidR="00CB167C" w:rsidRDefault="00CB167C" w:rsidP="00CB167C">
      <w:pPr>
        <w:pStyle w:val="Doc-text2"/>
        <w:pBdr>
          <w:top w:val="single" w:sz="4" w:space="1" w:color="auto"/>
          <w:left w:val="single" w:sz="4" w:space="4" w:color="auto"/>
          <w:bottom w:val="single" w:sz="4" w:space="1" w:color="auto"/>
          <w:right w:val="single" w:sz="4" w:space="4" w:color="auto"/>
        </w:pBdr>
      </w:pPr>
      <w:r>
        <w:t>1:</w:t>
      </w:r>
      <w:r>
        <w:tab/>
        <w:t xml:space="preserve">RRC Connection Reconfiguration that switches the uplink path can explicitly indicate (using existing indicators) whether the UE, for a given split bearer, shall perform re-establishment of an RLC and PDCP data recovery. </w:t>
      </w:r>
    </w:p>
    <w:p w14:paraId="646B1425" w14:textId="77777777" w:rsidR="00CB167C" w:rsidRDefault="00CB167C" w:rsidP="00CD4C7B"/>
    <w:p w14:paraId="61B09FEA" w14:textId="004274D2" w:rsidR="00A732CE" w:rsidRDefault="00CB167C" w:rsidP="00CD4C7B">
      <w:r>
        <w:t>Because RLC re-establishment needs to be performed (or not) on both the UE and network side, in this contribution we propose to add signalling to inform the node assisting a split bearer, whether or not to perform RLC re-establishment on the bearer when switching the uplink.</w:t>
      </w:r>
    </w:p>
    <w:p w14:paraId="127ACA6D" w14:textId="6B57EC97" w:rsidR="00CD4C7B" w:rsidRPr="006E13D1" w:rsidRDefault="00CD4C7B" w:rsidP="00CD4C7B">
      <w:pPr>
        <w:pStyle w:val="Heading1"/>
      </w:pPr>
      <w:r w:rsidRPr="006E13D1">
        <w:t>2</w:t>
      </w:r>
      <w:r w:rsidRPr="006E13D1">
        <w:tab/>
      </w:r>
      <w:r w:rsidR="00505BEA">
        <w:t>Discussion</w:t>
      </w:r>
    </w:p>
    <w:p w14:paraId="596018C1" w14:textId="17690B5D" w:rsidR="00CB167C" w:rsidRDefault="00CB167C" w:rsidP="00CD4C7B">
      <w:r>
        <w:t xml:space="preserve">The case </w:t>
      </w:r>
      <w:r w:rsidR="00D35750">
        <w:t>in question</w:t>
      </w:r>
      <w:r>
        <w:t xml:space="preserve"> is the following.</w:t>
      </w:r>
    </w:p>
    <w:p w14:paraId="42308DA7" w14:textId="65B6066A" w:rsidR="00D35750" w:rsidRDefault="00D35750" w:rsidP="00CB167C">
      <w:pPr>
        <w:pStyle w:val="ListParagraph"/>
        <w:numPr>
          <w:ilvl w:val="0"/>
          <w:numId w:val="6"/>
        </w:numPr>
      </w:pPr>
      <w:r>
        <w:t>On a split bearer, the assisting node has been configured to serve the uplink;</w:t>
      </w:r>
    </w:p>
    <w:p w14:paraId="4F408633" w14:textId="586DBFE9" w:rsidR="00CB167C" w:rsidRDefault="00D35750" w:rsidP="00CB167C">
      <w:pPr>
        <w:pStyle w:val="ListParagraph"/>
        <w:numPr>
          <w:ilvl w:val="0"/>
          <w:numId w:val="6"/>
        </w:numPr>
      </w:pPr>
      <w:r>
        <w:t>The assisting node sends the U-plane signalling indication of Outage to the PDCP-hosting node;</w:t>
      </w:r>
    </w:p>
    <w:p w14:paraId="0668B62F" w14:textId="0D103818" w:rsidR="00D35750" w:rsidRDefault="00D35750" w:rsidP="00CB167C">
      <w:pPr>
        <w:pStyle w:val="ListParagraph"/>
        <w:numPr>
          <w:ilvl w:val="0"/>
          <w:numId w:val="6"/>
        </w:numPr>
      </w:pPr>
      <w:r>
        <w:t>In response to this, the PDCP-hosting node decides to switch the uplink of the bearer from the assisting node to itself.</w:t>
      </w:r>
    </w:p>
    <w:p w14:paraId="079FD376" w14:textId="1CD9A91A" w:rsidR="00D35750" w:rsidRDefault="00D35750" w:rsidP="00D35750">
      <w:r>
        <w:t xml:space="preserve">Here, by the RAN2 agreement quoted above, the PDCP-hosting node will decide whether the RLC of the assisting node is to be re-established at the switching (if yes, </w:t>
      </w:r>
      <w:r w:rsidR="00BC2094">
        <w:t xml:space="preserve">also </w:t>
      </w:r>
      <w:r>
        <w:t xml:space="preserve">the PDCP </w:t>
      </w:r>
      <w:r w:rsidR="00BC2094">
        <w:t xml:space="preserve">is </w:t>
      </w:r>
      <w:r>
        <w:t>to execute the Data-recovery procedure)</w:t>
      </w:r>
      <w:r w:rsidR="00BC2094">
        <w:t xml:space="preserve">. The current signalling available on the X2/Xn does not seem to support indicating this information to the assisting node. The newly introduced IE </w:t>
      </w:r>
      <w:r w:rsidR="00BC2094" w:rsidRPr="00BC2094">
        <w:rPr>
          <w:i/>
        </w:rPr>
        <w:t>PDCP change indication</w:t>
      </w:r>
      <w:r w:rsidR="00BC2094">
        <w:t xml:space="preserve"> includes the code point </w:t>
      </w:r>
      <w:r w:rsidR="00BC2094" w:rsidRPr="00BC2094">
        <w:rPr>
          <w:i/>
        </w:rPr>
        <w:t>PDCP data recovery required</w:t>
      </w:r>
      <w:r w:rsidR="00BC2094">
        <w:t xml:space="preserve"> </w:t>
      </w:r>
      <w:r w:rsidR="00AC0C98">
        <w:t>which “</w:t>
      </w:r>
      <w:r w:rsidR="00AC0C98" w:rsidRPr="00AC0C98">
        <w:t>indicates that MeNB needs to perform PDCP data recovery</w:t>
      </w:r>
      <w:r w:rsidR="00AC0C98">
        <w:t xml:space="preserve">”, so </w:t>
      </w:r>
      <w:r w:rsidR="00BC2094">
        <w:t>that does not seem t</w:t>
      </w:r>
      <w:r w:rsidR="00AC0C98">
        <w:t>o serve this purpose</w:t>
      </w:r>
      <w:r w:rsidR="00E44160">
        <w:t xml:space="preserve"> – also because the indication is currently per UE, not per bearer</w:t>
      </w:r>
      <w:r w:rsidR="00AC0C98">
        <w:t>.</w:t>
      </w:r>
    </w:p>
    <w:p w14:paraId="7AC05025" w14:textId="57B50A23" w:rsidR="002A7BC6" w:rsidRDefault="002A7BC6" w:rsidP="00D35750">
      <w:r>
        <w:t>At least the following alternatives seem to be available:</w:t>
      </w:r>
    </w:p>
    <w:p w14:paraId="5752CB56" w14:textId="23C7E245" w:rsidR="002A7BC6" w:rsidRDefault="002A7BC6" w:rsidP="002A7BC6">
      <w:pPr>
        <w:pStyle w:val="ListParagraph"/>
        <w:numPr>
          <w:ilvl w:val="0"/>
          <w:numId w:val="9"/>
        </w:numPr>
      </w:pPr>
      <w:r>
        <w:t xml:space="preserve">Current code points of </w:t>
      </w:r>
      <w:r w:rsidRPr="002A7BC6">
        <w:rPr>
          <w:i/>
        </w:rPr>
        <w:t>UL Configuration</w:t>
      </w:r>
      <w:r>
        <w:t xml:space="preserve"> are split into cases indicating RLC re-establishment and no RLC re-establishment;</w:t>
      </w:r>
    </w:p>
    <w:p w14:paraId="3B8D71F8" w14:textId="2F5B4BC6" w:rsidR="002A7BC6" w:rsidRDefault="002A7BC6" w:rsidP="001E0412">
      <w:pPr>
        <w:pStyle w:val="ListParagraph"/>
        <w:numPr>
          <w:ilvl w:val="0"/>
          <w:numId w:val="9"/>
        </w:numPr>
      </w:pPr>
      <w:r>
        <w:t>A new IE is introduced for this purpose.</w:t>
      </w:r>
    </w:p>
    <w:p w14:paraId="2EF57745" w14:textId="399138C7" w:rsidR="00BC2094" w:rsidRDefault="002A7BC6" w:rsidP="00D35750">
      <w:r>
        <w:t xml:space="preserve">Because </w:t>
      </w:r>
      <w:r w:rsidRPr="002A7BC6">
        <w:rPr>
          <w:i/>
        </w:rPr>
        <w:t>UL Configuration</w:t>
      </w:r>
      <w:r>
        <w:t xml:space="preserve"> </w:t>
      </w:r>
      <w:r w:rsidR="00EA287C">
        <w:t xml:space="preserve">is also included in SgNB/SN Addition Request, option A could cause confusion. </w:t>
      </w:r>
      <w:r w:rsidR="000344A0">
        <w:t xml:space="preserve">For </w:t>
      </w:r>
      <w:r>
        <w:t>this reason, we propose the following.</w:t>
      </w:r>
    </w:p>
    <w:p w14:paraId="07AEE4C5" w14:textId="18629857" w:rsidR="00CB167C" w:rsidRDefault="002A7BC6" w:rsidP="008032A7">
      <w:pPr>
        <w:ind w:left="1420" w:hanging="1132"/>
      </w:pPr>
      <w:r w:rsidRPr="002A7BC6">
        <w:rPr>
          <w:b/>
        </w:rPr>
        <w:t>Proposal</w:t>
      </w:r>
      <w:r>
        <w:t>:</w:t>
      </w:r>
      <w:r>
        <w:tab/>
        <w:t xml:space="preserve">In SN/SgNB Modification Request and SN/SgNB Modification Required, introduce a new per-bearer IE RLC Re-establishment required, applicable to split bearers </w:t>
      </w:r>
      <w:r w:rsidR="00320A7A">
        <w:t xml:space="preserve">to be modified that are </w:t>
      </w:r>
      <w:r>
        <w:t>terminated at the sender of the message.</w:t>
      </w:r>
    </w:p>
    <w:p w14:paraId="43A12B72" w14:textId="324C92BC" w:rsidR="00CD4C7B" w:rsidRPr="008032A7" w:rsidRDefault="00037792" w:rsidP="00CD4C7B">
      <w:pPr>
        <w:pStyle w:val="Heading1"/>
        <w:rPr>
          <w:lang w:val="en-US"/>
        </w:rPr>
      </w:pPr>
      <w:r w:rsidRPr="008032A7">
        <w:rPr>
          <w:lang w:val="en-US"/>
        </w:rPr>
        <w:lastRenderedPageBreak/>
        <w:t>3</w:t>
      </w:r>
      <w:r w:rsidR="00CD4C7B" w:rsidRPr="008032A7">
        <w:rPr>
          <w:lang w:val="en-US"/>
        </w:rPr>
        <w:tab/>
      </w:r>
      <w:r w:rsidRPr="008032A7">
        <w:rPr>
          <w:lang w:val="en-US"/>
        </w:rPr>
        <w:t>Conclusion</w:t>
      </w:r>
    </w:p>
    <w:p w14:paraId="0030412B" w14:textId="5F535CAE" w:rsidR="008032A7" w:rsidRPr="004E4B6F" w:rsidRDefault="008032A7" w:rsidP="008032A7">
      <w:pPr>
        <w:rPr>
          <w:lang w:val="en-US"/>
        </w:rPr>
      </w:pPr>
      <w:r w:rsidRPr="004E4B6F">
        <w:rPr>
          <w:lang w:val="en-US"/>
        </w:rPr>
        <w:t>In this paper</w:t>
      </w:r>
      <w:r>
        <w:rPr>
          <w:lang w:val="en-US"/>
        </w:rPr>
        <w:t>,</w:t>
      </w:r>
      <w:r w:rsidRPr="004E4B6F">
        <w:rPr>
          <w:lang w:val="en-US"/>
        </w:rPr>
        <w:t xml:space="preserve"> the impacts of the last-moment </w:t>
      </w:r>
      <w:r>
        <w:rPr>
          <w:lang w:val="en-US"/>
        </w:rPr>
        <w:t xml:space="preserve">RAN2 decisions concerning RLC reset on EN-DC solution are presented. RAN2 decided that a together with the </w:t>
      </w:r>
      <w:r w:rsidR="00A23F95">
        <w:rPr>
          <w:lang w:val="en-US"/>
        </w:rPr>
        <w:t>UL reconfiguration, the RLC may be reset. This needs to be executed at both ends, at the UE and at the network. This means further that the assisting node must be informed about the need</w:t>
      </w:r>
      <w:r>
        <w:rPr>
          <w:lang w:val="en-US"/>
        </w:rPr>
        <w:t xml:space="preserve">. </w:t>
      </w:r>
      <w:r w:rsidR="00A23F95">
        <w:rPr>
          <w:lang w:val="en-US"/>
        </w:rPr>
        <w:t>Since RLC reset applies only to reconfiguration after the connection is set up, i</w:t>
      </w:r>
      <w:r>
        <w:rPr>
          <w:lang w:val="en-US"/>
        </w:rPr>
        <w:t xml:space="preserve">t is proposed to </w:t>
      </w:r>
      <w:r w:rsidR="00A23F95">
        <w:rPr>
          <w:lang w:val="en-US"/>
        </w:rPr>
        <w:t>add a flag to the modification procedures indicating the need</w:t>
      </w:r>
      <w:r>
        <w:rPr>
          <w:lang w:val="en-US"/>
        </w:rPr>
        <w:t xml:space="preserve">. A </w:t>
      </w:r>
      <w:r w:rsidR="00A23F95">
        <w:rPr>
          <w:lang w:val="en-US"/>
        </w:rPr>
        <w:t>CR introducing</w:t>
      </w:r>
      <w:r>
        <w:rPr>
          <w:lang w:val="en-US"/>
        </w:rPr>
        <w:t xml:space="preserve"> </w:t>
      </w:r>
      <w:r w:rsidR="00A23F95">
        <w:rPr>
          <w:lang w:val="en-US"/>
        </w:rPr>
        <w:t>this</w:t>
      </w:r>
      <w:r>
        <w:rPr>
          <w:lang w:val="en-US"/>
        </w:rPr>
        <w:t xml:space="preserve"> solution is proposed in [2].</w:t>
      </w:r>
    </w:p>
    <w:p w14:paraId="0FDCFAC2" w14:textId="77777777" w:rsidR="00CD4C7B" w:rsidRPr="006E13D1" w:rsidRDefault="00CD4C7B" w:rsidP="00CD4C7B">
      <w:pPr>
        <w:pStyle w:val="Heading1"/>
      </w:pPr>
      <w:r w:rsidRPr="006E13D1">
        <w:t>References</w:t>
      </w:r>
    </w:p>
    <w:p w14:paraId="4AA5C936" w14:textId="5DDA5378" w:rsidR="00CD4C7B" w:rsidRDefault="002925F2" w:rsidP="002925F2">
      <w:pPr>
        <w:numPr>
          <w:ilvl w:val="0"/>
          <w:numId w:val="4"/>
        </w:numPr>
        <w:overflowPunct w:val="0"/>
        <w:autoSpaceDE w:val="0"/>
        <w:autoSpaceDN w:val="0"/>
        <w:adjustRightInd w:val="0"/>
        <w:textAlignment w:val="baseline"/>
      </w:pPr>
      <w:bookmarkStart w:id="1" w:name="_Ref75086397"/>
      <w:r w:rsidRPr="002925F2">
        <w:t>R3-175047</w:t>
      </w:r>
      <w:r w:rsidR="00CD4C7B" w:rsidRPr="006E13D1">
        <w:t xml:space="preserve"> </w:t>
      </w:r>
      <w:bookmarkEnd w:id="1"/>
      <w:r w:rsidRPr="002925F2">
        <w:rPr>
          <w:i/>
          <w:iCs/>
        </w:rPr>
        <w:t>Switching of the UL link</w:t>
      </w:r>
      <w:r w:rsidR="0090466A">
        <w:t xml:space="preserve"> - </w:t>
      </w:r>
      <w:r w:rsidR="00F76635" w:rsidRPr="00F76635">
        <w:t>Nokia, Nokia Shanghai Bell</w:t>
      </w:r>
    </w:p>
    <w:p w14:paraId="49B2454B" w14:textId="5B31D2F9" w:rsidR="00F76635" w:rsidRPr="006E13D1" w:rsidRDefault="00A23F95" w:rsidP="00F76635">
      <w:pPr>
        <w:numPr>
          <w:ilvl w:val="0"/>
          <w:numId w:val="4"/>
        </w:numPr>
        <w:overflowPunct w:val="0"/>
        <w:autoSpaceDE w:val="0"/>
        <w:autoSpaceDN w:val="0"/>
        <w:adjustRightInd w:val="0"/>
        <w:textAlignment w:val="baseline"/>
      </w:pPr>
      <w:r>
        <w:t>R3-18</w:t>
      </w:r>
      <w:r w:rsidR="0099610B">
        <w:t>0058</w:t>
      </w:r>
      <w:r>
        <w:t>, RAN3 #AH-1801</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B396F" w14:textId="77777777" w:rsidR="00B67944" w:rsidRDefault="00B67944">
      <w:r>
        <w:separator/>
      </w:r>
    </w:p>
  </w:endnote>
  <w:endnote w:type="continuationSeparator" w:id="0">
    <w:p w14:paraId="2FA3B633" w14:textId="77777777" w:rsidR="00B67944" w:rsidRDefault="00B6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4B440" w14:textId="77777777" w:rsidR="00B67944" w:rsidRDefault="00B67944">
      <w:r>
        <w:separator/>
      </w:r>
    </w:p>
  </w:footnote>
  <w:footnote w:type="continuationSeparator" w:id="0">
    <w:p w14:paraId="6A5512EB" w14:textId="77777777" w:rsidR="00B67944" w:rsidRDefault="00B67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901D64"/>
    <w:multiLevelType w:val="hybridMultilevel"/>
    <w:tmpl w:val="B792EE96"/>
    <w:lvl w:ilvl="0" w:tplc="58C63D0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97B04A9"/>
    <w:multiLevelType w:val="hybridMultilevel"/>
    <w:tmpl w:val="C8F26F7C"/>
    <w:lvl w:ilvl="0" w:tplc="04090015">
      <w:start w:val="1"/>
      <w:numFmt w:val="upperLetter"/>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8B9635D"/>
    <w:multiLevelType w:val="hybridMultilevel"/>
    <w:tmpl w:val="7CD09F48"/>
    <w:lvl w:ilvl="0" w:tplc="04090015">
      <w:start w:val="1"/>
      <w:numFmt w:val="upperLetter"/>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65652CD7"/>
    <w:multiLevelType w:val="hybridMultilevel"/>
    <w:tmpl w:val="DB18B20C"/>
    <w:lvl w:ilvl="0" w:tplc="04090015">
      <w:start w:val="1"/>
      <w:numFmt w:val="upperLetter"/>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B4051C1"/>
    <w:multiLevelType w:val="hybridMultilevel"/>
    <w:tmpl w:val="ABDECDE4"/>
    <w:lvl w:ilvl="0" w:tplc="DED664A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7"/>
  </w:num>
  <w:num w:numId="6">
    <w:abstractNumId w:val="2"/>
  </w:num>
  <w:num w:numId="7">
    <w:abstractNumId w:val="5"/>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44A0"/>
    <w:rsid w:val="000354C5"/>
    <w:rsid w:val="00037792"/>
    <w:rsid w:val="00040095"/>
    <w:rsid w:val="00080512"/>
    <w:rsid w:val="00090468"/>
    <w:rsid w:val="000B7BCF"/>
    <w:rsid w:val="000C522B"/>
    <w:rsid w:val="000D58AB"/>
    <w:rsid w:val="00112F1A"/>
    <w:rsid w:val="00144381"/>
    <w:rsid w:val="00145075"/>
    <w:rsid w:val="001741A0"/>
    <w:rsid w:val="00175FA0"/>
    <w:rsid w:val="00194CD0"/>
    <w:rsid w:val="001B49C9"/>
    <w:rsid w:val="001C4F79"/>
    <w:rsid w:val="001E7016"/>
    <w:rsid w:val="001F168B"/>
    <w:rsid w:val="001F7831"/>
    <w:rsid w:val="00204045"/>
    <w:rsid w:val="0020712B"/>
    <w:rsid w:val="00223D2E"/>
    <w:rsid w:val="0022606D"/>
    <w:rsid w:val="002747EC"/>
    <w:rsid w:val="002855BF"/>
    <w:rsid w:val="002925F2"/>
    <w:rsid w:val="002A7BC6"/>
    <w:rsid w:val="002F0D22"/>
    <w:rsid w:val="003172DC"/>
    <w:rsid w:val="00320A7A"/>
    <w:rsid w:val="00325AE3"/>
    <w:rsid w:val="00326069"/>
    <w:rsid w:val="0035462D"/>
    <w:rsid w:val="00364B41"/>
    <w:rsid w:val="003B40AD"/>
    <w:rsid w:val="003C4E37"/>
    <w:rsid w:val="003E16BE"/>
    <w:rsid w:val="004006E8"/>
    <w:rsid w:val="00401855"/>
    <w:rsid w:val="00443FC1"/>
    <w:rsid w:val="00463DC4"/>
    <w:rsid w:val="00477455"/>
    <w:rsid w:val="004C44D2"/>
    <w:rsid w:val="004D3578"/>
    <w:rsid w:val="004D380D"/>
    <w:rsid w:val="004E213A"/>
    <w:rsid w:val="00503171"/>
    <w:rsid w:val="00505BEA"/>
    <w:rsid w:val="00506C28"/>
    <w:rsid w:val="005156FA"/>
    <w:rsid w:val="00534DA0"/>
    <w:rsid w:val="00543E6C"/>
    <w:rsid w:val="00565087"/>
    <w:rsid w:val="0056573F"/>
    <w:rsid w:val="00611566"/>
    <w:rsid w:val="00632FD0"/>
    <w:rsid w:val="00646D99"/>
    <w:rsid w:val="00656910"/>
    <w:rsid w:val="00682681"/>
    <w:rsid w:val="006C66D8"/>
    <w:rsid w:val="006D1E24"/>
    <w:rsid w:val="006E03CC"/>
    <w:rsid w:val="006E1417"/>
    <w:rsid w:val="006F6A2C"/>
    <w:rsid w:val="0070456F"/>
    <w:rsid w:val="00710201"/>
    <w:rsid w:val="007342B5"/>
    <w:rsid w:val="00734A5B"/>
    <w:rsid w:val="00744E76"/>
    <w:rsid w:val="00757D40"/>
    <w:rsid w:val="00781F0F"/>
    <w:rsid w:val="0078727C"/>
    <w:rsid w:val="0079049D"/>
    <w:rsid w:val="00793DC5"/>
    <w:rsid w:val="007B18D8"/>
    <w:rsid w:val="007C095F"/>
    <w:rsid w:val="008028A4"/>
    <w:rsid w:val="008032A7"/>
    <w:rsid w:val="00813245"/>
    <w:rsid w:val="008768CA"/>
    <w:rsid w:val="00877EF9"/>
    <w:rsid w:val="00880559"/>
    <w:rsid w:val="008B5306"/>
    <w:rsid w:val="0090271F"/>
    <w:rsid w:val="00902DB9"/>
    <w:rsid w:val="0090466A"/>
    <w:rsid w:val="00906541"/>
    <w:rsid w:val="00926844"/>
    <w:rsid w:val="00936071"/>
    <w:rsid w:val="00940212"/>
    <w:rsid w:val="00942EC2"/>
    <w:rsid w:val="00961B32"/>
    <w:rsid w:val="00970DB3"/>
    <w:rsid w:val="00974BB0"/>
    <w:rsid w:val="0099610B"/>
    <w:rsid w:val="009A0AF3"/>
    <w:rsid w:val="009B07CD"/>
    <w:rsid w:val="009C19E9"/>
    <w:rsid w:val="009D74A6"/>
    <w:rsid w:val="00A10F02"/>
    <w:rsid w:val="00A204CA"/>
    <w:rsid w:val="00A20A60"/>
    <w:rsid w:val="00A23B20"/>
    <w:rsid w:val="00A23F95"/>
    <w:rsid w:val="00A53724"/>
    <w:rsid w:val="00A732CE"/>
    <w:rsid w:val="00A82346"/>
    <w:rsid w:val="00A9671C"/>
    <w:rsid w:val="00AA1553"/>
    <w:rsid w:val="00AC0C98"/>
    <w:rsid w:val="00B111D5"/>
    <w:rsid w:val="00B15449"/>
    <w:rsid w:val="00B27303"/>
    <w:rsid w:val="00B47FD1"/>
    <w:rsid w:val="00B516BB"/>
    <w:rsid w:val="00B67944"/>
    <w:rsid w:val="00BC2094"/>
    <w:rsid w:val="00BC3555"/>
    <w:rsid w:val="00BD178D"/>
    <w:rsid w:val="00BE51A5"/>
    <w:rsid w:val="00C12B51"/>
    <w:rsid w:val="00C24650"/>
    <w:rsid w:val="00C33079"/>
    <w:rsid w:val="00C43850"/>
    <w:rsid w:val="00C83A13"/>
    <w:rsid w:val="00C9068C"/>
    <w:rsid w:val="00C92967"/>
    <w:rsid w:val="00CA3D0C"/>
    <w:rsid w:val="00CA654B"/>
    <w:rsid w:val="00CB167C"/>
    <w:rsid w:val="00CD4C7B"/>
    <w:rsid w:val="00D30D11"/>
    <w:rsid w:val="00D35750"/>
    <w:rsid w:val="00D3792D"/>
    <w:rsid w:val="00D55E47"/>
    <w:rsid w:val="00D62E19"/>
    <w:rsid w:val="00D738D6"/>
    <w:rsid w:val="00D80795"/>
    <w:rsid w:val="00D854BE"/>
    <w:rsid w:val="00D87E00"/>
    <w:rsid w:val="00D9134D"/>
    <w:rsid w:val="00D96D11"/>
    <w:rsid w:val="00DA7A03"/>
    <w:rsid w:val="00DB1818"/>
    <w:rsid w:val="00DC218C"/>
    <w:rsid w:val="00DC309B"/>
    <w:rsid w:val="00DC4DA2"/>
    <w:rsid w:val="00DF31A7"/>
    <w:rsid w:val="00DF7B1D"/>
    <w:rsid w:val="00E02AA9"/>
    <w:rsid w:val="00E44160"/>
    <w:rsid w:val="00E62835"/>
    <w:rsid w:val="00E77645"/>
    <w:rsid w:val="00E83697"/>
    <w:rsid w:val="00EA287C"/>
    <w:rsid w:val="00EA3CBD"/>
    <w:rsid w:val="00EC4A25"/>
    <w:rsid w:val="00ED434A"/>
    <w:rsid w:val="00F025A2"/>
    <w:rsid w:val="00F07388"/>
    <w:rsid w:val="00F2026E"/>
    <w:rsid w:val="00F2210A"/>
    <w:rsid w:val="00F37743"/>
    <w:rsid w:val="00F54A3D"/>
    <w:rsid w:val="00F54CB0"/>
    <w:rsid w:val="00F653B8"/>
    <w:rsid w:val="00F71B89"/>
    <w:rsid w:val="00F7353C"/>
    <w:rsid w:val="00F76635"/>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505BE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05BEA"/>
    <w:rPr>
      <w:rFonts w:ascii="Arial" w:eastAsia="MS Mincho" w:hAnsi="Arial"/>
      <w:szCs w:val="24"/>
    </w:rPr>
  </w:style>
  <w:style w:type="paragraph" w:styleId="ListParagraph">
    <w:name w:val="List Paragraph"/>
    <w:basedOn w:val="Normal"/>
    <w:uiPriority w:val="34"/>
    <w:qFormat/>
    <w:rsid w:val="00632F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649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72</TotalTime>
  <Pages>2</Pages>
  <Words>468</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3272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RLC re-establishment indication at switching on a split bearer</dc:title>
  <dc:subject>3GPP RAN3 #AH-1801</dc:subject>
  <dc:creator>Nokia</dc:creator>
  <cp:lastModifiedBy>Nokia</cp:lastModifiedBy>
  <cp:revision>13</cp:revision>
  <dcterms:created xsi:type="dcterms:W3CDTF">2018-01-09T10:08:00Z</dcterms:created>
  <dcterms:modified xsi:type="dcterms:W3CDTF">2018-01-12T13:12:00Z</dcterms:modified>
</cp:coreProperties>
</file>